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52" w:rsidRDefault="00191852" w:rsidP="0019185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/2019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>
        <w:rPr>
          <w:rFonts w:ascii="Times New Roman" w:eastAsia="Times New Roman" w:hAnsi="Times New Roman" w:cs="Times New Roman"/>
          <w:b/>
        </w:rPr>
        <w:t>……………….2019</w:t>
      </w:r>
      <w:r>
        <w:rPr>
          <w:rFonts w:ascii="Times New Roman" w:eastAsia="Times New Roman" w:hAnsi="Times New Roman" w:cs="Times New Roman"/>
        </w:rPr>
        <w:t xml:space="preserve"> roku  w Grójcu pomiędzy: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reprezentowaną przez: </w:t>
      </w:r>
      <w:r>
        <w:rPr>
          <w:rFonts w:ascii="Times New Roman" w:eastAsia="Times New Roman" w:hAnsi="Times New Roman" w:cs="Times New Roman"/>
          <w:b/>
        </w:rPr>
        <w:t xml:space="preserve">Burmistrza – Dariusza Gwiazdę  </w:t>
      </w: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reprezentowaną  przez </w:t>
      </w:r>
      <w:r>
        <w:rPr>
          <w:rFonts w:ascii="Times New Roman" w:eastAsia="Times New Roman" w:hAnsi="Times New Roman" w:cs="Times New Roman"/>
          <w:b/>
        </w:rPr>
        <w:t>……………………….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WI.271.15.2019.KOI </w:t>
      </w:r>
      <w:r>
        <w:rPr>
          <w:rFonts w:ascii="Times New Roman" w:eastAsia="Times New Roman" w:hAnsi="Times New Roman" w:cs="Times New Roman"/>
          <w:b/>
        </w:rPr>
        <w:t xml:space="preserve"> 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</w:rPr>
        <w:t>Przebudowa części budynku Publicznej Szkoły Podstawowej Nr 2 z przeznaczeniem na przedszkole 6-oddziałowe”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numPr>
          <w:ilvl w:val="0"/>
          <w:numId w:val="1"/>
        </w:numPr>
        <w:tabs>
          <w:tab w:val="num" w:pos="284"/>
        </w:tabs>
        <w:spacing w:after="0"/>
        <w:ind w:left="142" w:hanging="142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191852" w:rsidRDefault="00191852" w:rsidP="00191852">
      <w:pPr>
        <w:pStyle w:val="Akapitzlist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191852" w:rsidRDefault="00191852" w:rsidP="00191852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191852" w:rsidRDefault="00191852" w:rsidP="00191852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191852" w:rsidRDefault="00191852" w:rsidP="00191852">
      <w:pPr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Każda zmiana dokumentacji będzie dokonana za zgodą Zamawiającego i pisemną zgodą autorskiej jednostki projektowania.</w:t>
      </w:r>
    </w:p>
    <w:p w:rsidR="00191852" w:rsidRDefault="00191852" w:rsidP="00191852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wykonania ustala się : 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Rozpoczęcie: 19 czerwca 2019 r.</w:t>
      </w:r>
    </w:p>
    <w:p w:rsidR="00191852" w:rsidRDefault="00191852" w:rsidP="0019185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Zakończenie</w:t>
      </w:r>
      <w:r>
        <w:rPr>
          <w:rFonts w:ascii="Times New Roman" w:hAnsi="Times New Roman" w:cs="Times New Roman"/>
          <w:b/>
        </w:rPr>
        <w:t xml:space="preserve">: </w:t>
      </w:r>
    </w:p>
    <w:p w:rsidR="00191852" w:rsidRDefault="00191852" w:rsidP="0019185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przebudowa pomieszczeń na parterze budynku: 14 sierpnia 2019 r.</w:t>
      </w:r>
    </w:p>
    <w:p w:rsidR="00191852" w:rsidRDefault="00191852" w:rsidP="0019185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pozostałe prace w tym przebudowa pomieszczeń na I piętrze budynku: 15 października 2019 r.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191852" w:rsidRDefault="00191852" w:rsidP="00191852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191852" w:rsidRDefault="00191852" w:rsidP="0019185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191852" w:rsidRDefault="00191852" w:rsidP="0019185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harmonogramie robót należy uwzględnić konieczność wykonania w pierwszej kolejności robót remontowych pomieszczeń parteru budynku. </w:t>
      </w:r>
    </w:p>
    <w:p w:rsidR="00191852" w:rsidRDefault="00191852" w:rsidP="00191852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191852" w:rsidRDefault="00191852" w:rsidP="00191852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konstrukcyjno-budowlanej oraz ważnym zaświadczeniem z Okręgowej Izby Inżynierów Budownictwa.</w:t>
      </w:r>
    </w:p>
    <w:p w:rsidR="00191852" w:rsidRDefault="00191852" w:rsidP="00191852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191852" w:rsidRDefault="00191852" w:rsidP="00191852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zobowiązuje się zapewnić na swój koszt inspektora nadzoru.</w:t>
      </w:r>
    </w:p>
    <w:p w:rsidR="00191852" w:rsidRDefault="00191852" w:rsidP="00191852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191852" w:rsidRDefault="00191852" w:rsidP="00191852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191852" w:rsidRDefault="00191852" w:rsidP="00191852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191852" w:rsidRDefault="00191852" w:rsidP="00191852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191852" w:rsidRDefault="00191852" w:rsidP="00191852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191852" w:rsidRDefault="00191852" w:rsidP="00191852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191852" w:rsidRDefault="00191852" w:rsidP="00191852">
      <w:p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191852" w:rsidRDefault="00191852" w:rsidP="00191852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191852" w:rsidRDefault="00191852" w:rsidP="00191852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191852" w:rsidRDefault="00191852" w:rsidP="00191852">
      <w:pPr>
        <w:numPr>
          <w:ilvl w:val="0"/>
          <w:numId w:val="4"/>
        </w:numPr>
        <w:tabs>
          <w:tab w:val="num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191852" w:rsidRDefault="00191852" w:rsidP="00191852">
      <w:pPr>
        <w:spacing w:after="0"/>
        <w:ind w:left="357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</w:rPr>
        <w:lastRenderedPageBreak/>
        <w:t>podwykonawcy lub dalszemu podwykonawcy faktury lub rachunku, potwierdzających wykonanie zleconej dostawy, usługi lub roboty budowlanej.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191852" w:rsidRDefault="00191852" w:rsidP="00191852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191852" w:rsidRDefault="00191852" w:rsidP="00191852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poświadczoną za zgodność z oryginałem kopię zawartej umowy o podwykonawstwo, której przedmiotem są roboty budowlane, w terminie 7 dni od dnia jej zawarcia.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191852" w:rsidRDefault="00191852" w:rsidP="00191852">
      <w:pPr>
        <w:numPr>
          <w:ilvl w:val="1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191852" w:rsidRDefault="00191852" w:rsidP="00191852">
      <w:pPr>
        <w:spacing w:after="0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191852" w:rsidRDefault="00191852" w:rsidP="00191852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>
        <w:rPr>
          <w:rFonts w:ascii="Times New Roman" w:eastAsia="Times New Roman" w:hAnsi="Times New Roman" w:cs="Times New Roman"/>
          <w:bCs/>
        </w:rPr>
        <w:br/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191852" w:rsidRDefault="00191852" w:rsidP="00191852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191852" w:rsidRDefault="00191852" w:rsidP="00191852">
      <w:pPr>
        <w:numPr>
          <w:ilvl w:val="2"/>
          <w:numId w:val="4"/>
        </w:numPr>
        <w:tabs>
          <w:tab w:val="num" w:pos="426"/>
        </w:tabs>
        <w:spacing w:before="60" w:after="24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8</w:t>
      </w:r>
    </w:p>
    <w:p w:rsidR="00191852" w:rsidRDefault="00191852" w:rsidP="00191852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191852" w:rsidRDefault="00191852" w:rsidP="00191852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Wykonawca odpowiada za teren budowy do czasu przekazania obiektu Zamawiającemu protokółem końcowego odbioru technicznego robót.</w:t>
      </w:r>
    </w:p>
    <w:p w:rsidR="00191852" w:rsidRDefault="00191852" w:rsidP="00191852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na swój koszt zorganizuje ruch samochodowy i pieszy, zapewni niezbędne dojścia do gospodarstw i posesji.</w:t>
      </w:r>
    </w:p>
    <w:p w:rsidR="00191852" w:rsidRDefault="00191852" w:rsidP="00191852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191852" w:rsidRDefault="00191852" w:rsidP="00191852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91852" w:rsidRDefault="00191852" w:rsidP="00191852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191852" w:rsidRDefault="00191852" w:rsidP="00191852">
      <w:pPr>
        <w:numPr>
          <w:ilvl w:val="2"/>
          <w:numId w:val="6"/>
        </w:numPr>
        <w:tabs>
          <w:tab w:val="num" w:pos="567"/>
        </w:tabs>
        <w:spacing w:before="60"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191852" w:rsidRDefault="00191852" w:rsidP="00191852">
      <w:pPr>
        <w:numPr>
          <w:ilvl w:val="2"/>
          <w:numId w:val="6"/>
        </w:numPr>
        <w:tabs>
          <w:tab w:val="num" w:pos="567"/>
        </w:tabs>
        <w:spacing w:before="60" w:after="24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191852" w:rsidRDefault="00191852" w:rsidP="00191852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60" w:after="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Przedmiotem odbioru końcowego  przez zamawiającego będzie kompleksowo wykonany przedmiot umowy. Zgłoszenie o zakończeniu realizacji zadania winno być poprzedzone przekazaniem Inspektorowi nadzoru kompletnych dokumentów odbiorowych, w skład których wchodzą m.in. : dziennik budowy, atesty materiałów, zestawienie rzeczowe wykonanych robót, dokumentacja powykonawcza z ewentualnymi naniesionymi zmianami i szkicem powykonawczym.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Aktualizacja wszystkich niezbędnych warunków technicznych, opinii, uzgodnień, decyzji itp.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191852" w:rsidRDefault="00191852" w:rsidP="00191852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Błędy lub braki w dokumentacji nie zwalniają Wykonawcy z obowiązku poprawnego wykonania pełnego i kompleksowego dzieła w ramach wynagrodzenia określonego w par. 13. 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191852" w:rsidRDefault="00191852" w:rsidP="00191852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191852" w:rsidRDefault="00191852" w:rsidP="00191852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191852" w:rsidRDefault="00191852" w:rsidP="00191852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>…………. miesięcy</w:t>
      </w:r>
      <w:r>
        <w:rPr>
          <w:rFonts w:ascii="Times New Roman" w:eastAsia="Times New Roman" w:hAnsi="Times New Roman" w:cs="Times New Roman"/>
        </w:rPr>
        <w:t>.</w:t>
      </w:r>
    </w:p>
    <w:p w:rsidR="00191852" w:rsidRDefault="00191852" w:rsidP="00191852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191852" w:rsidRDefault="00191852" w:rsidP="00191852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191852" w:rsidRDefault="00191852" w:rsidP="00191852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191852" w:rsidRDefault="00191852" w:rsidP="00191852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wykonanie przedmiotu umowy, o którym mowa w § 1 ust. 1 pkt. a, Wykonawca otrzyma wynagrodzenie w wysokości:</w:t>
      </w:r>
    </w:p>
    <w:p w:rsidR="00191852" w:rsidRDefault="00191852" w:rsidP="00191852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netto: …………………. zł (słownie: </w:t>
      </w:r>
    </w:p>
    <w:p w:rsidR="00191852" w:rsidRDefault="00191852" w:rsidP="00191852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podatek VAT: ………………… zł (słownie: </w:t>
      </w:r>
    </w:p>
    <w:p w:rsidR="00191852" w:rsidRDefault="00191852" w:rsidP="00191852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………………. zł (słownie:     ).</w:t>
      </w:r>
    </w:p>
    <w:p w:rsidR="00191852" w:rsidRDefault="00191852" w:rsidP="00191852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ma charakter rozliczenia ryczałtowego.</w:t>
      </w:r>
    </w:p>
    <w:p w:rsidR="00191852" w:rsidRDefault="00191852" w:rsidP="00191852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Wykonawcy obejmuje wszystkie elementy i składniki kosztów niezbędne do wykonania przedmiotu umowy zgodnie z projektem </w:t>
      </w:r>
    </w:p>
    <w:p w:rsidR="00191852" w:rsidRDefault="00191852" w:rsidP="00191852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będzie płatne przelewem na rachunek bankowy Wykonawcy………………………, w terminie do 30 dni od daty przedłożenia w siedzibie Zamawiającego prawidłowo wystawionej faktury.</w:t>
      </w:r>
    </w:p>
    <w:p w:rsidR="00191852" w:rsidRDefault="00191852" w:rsidP="0019185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191852" w:rsidRDefault="00191852" w:rsidP="00191852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191852" w:rsidRDefault="00191852" w:rsidP="0019185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191852" w:rsidRDefault="00191852" w:rsidP="00191852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niezapłacenie pełnej kwoty umownej w przypadku nie wykonania pełnego zakresu przedmiotu umowy lub w przypadku stwierdzenia usterek nie do usunięcia.</w:t>
      </w:r>
    </w:p>
    <w:p w:rsidR="00191852" w:rsidRDefault="00191852" w:rsidP="00191852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 trakcie wykonywania robót nie zachodzi konieczność wykonania ich pełnego zakresu faktura zostanie pomniejszona o wartość tych robót ujętych w kosztorysie ofertowym.</w:t>
      </w:r>
    </w:p>
    <w:p w:rsidR="00191852" w:rsidRDefault="00191852" w:rsidP="00191852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Rozliczenie robót dodatkowych i zamiennych będzie mieć miejsce na podstawie zawartych w kosztorysie ofertowym stawek i narzutów, cen materiałów i sprzętu .</w:t>
      </w:r>
    </w:p>
    <w:p w:rsidR="00191852" w:rsidRDefault="00191852" w:rsidP="00191852">
      <w:pPr>
        <w:tabs>
          <w:tab w:val="left" w:pos="2552"/>
        </w:tabs>
        <w:autoSpaceDE w:val="0"/>
        <w:autoSpaceDN w:val="0"/>
        <w:spacing w:before="60" w:after="240"/>
        <w:ind w:left="36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:rsidR="00191852" w:rsidRDefault="00191852" w:rsidP="00191852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umowne: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</w:t>
      </w:r>
    </w:p>
    <w:p w:rsidR="00191852" w:rsidRDefault="00191852" w:rsidP="00191852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191852" w:rsidRDefault="00191852" w:rsidP="00191852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wady,</w:t>
      </w:r>
    </w:p>
    <w:p w:rsidR="00191852" w:rsidRDefault="00191852" w:rsidP="00191852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191852" w:rsidRDefault="00191852" w:rsidP="00191852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2.Za zwłokę w płatności faktur Zamawiający płaci odsetki ustawowe w wysokości ustalonej przez Min. Finansów ogłoszone w Dzienniku Ustaw.</w:t>
      </w:r>
    </w:p>
    <w:p w:rsidR="00191852" w:rsidRDefault="00191852" w:rsidP="00191852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13 ust.1, za każdorazowy brak zapłaty lub nieterminową zapłatę,</w:t>
      </w:r>
    </w:p>
    <w:p w:rsidR="00191852" w:rsidRDefault="00191852" w:rsidP="00191852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191852" w:rsidRDefault="00191852" w:rsidP="00191852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191852" w:rsidRDefault="00191852" w:rsidP="00191852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191852" w:rsidRDefault="00191852" w:rsidP="00191852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Za realizację umowy przy udziale nieujawnionych Podwykonawców Wykonawca zapłaci Zamawiającemu karę umowną w wysokości 10 000 zł za każdorazowy fakt nie ujawnienia Podwykonawcy.</w:t>
      </w:r>
    </w:p>
    <w:p w:rsidR="00191852" w:rsidRDefault="00191852" w:rsidP="00191852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191852" w:rsidRDefault="00191852" w:rsidP="00191852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Strony mogą odstąpić od naliczania kar, jeżeli  tak uzgodnią w trakcie realizacji umowy.</w:t>
      </w:r>
    </w:p>
    <w:p w:rsidR="00191852" w:rsidRDefault="00191852" w:rsidP="00191852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15</w:t>
      </w:r>
    </w:p>
    <w:p w:rsidR="00191852" w:rsidRDefault="00191852" w:rsidP="00191852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</w:t>
      </w:r>
      <w:r>
        <w:rPr>
          <w:rFonts w:ascii="Times New Roman" w:eastAsia="Times New Roman" w:hAnsi="Times New Roman" w:cs="Times New Roman"/>
          <w:b/>
        </w:rPr>
        <w:t xml:space="preserve">……… miesięcznej gwarancji </w:t>
      </w:r>
      <w:r>
        <w:rPr>
          <w:rFonts w:ascii="Times New Roman" w:eastAsia="Times New Roman" w:hAnsi="Times New Roman" w:cs="Times New Roman"/>
        </w:rPr>
        <w:t>jakości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wykonanych robót, licząc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od daty ostatecznego odbioru.</w:t>
      </w:r>
    </w:p>
    <w:p w:rsidR="00191852" w:rsidRDefault="00191852" w:rsidP="00191852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</w:rPr>
        <w:t>……………….. zł</w:t>
      </w:r>
      <w:r>
        <w:rPr>
          <w:rFonts w:ascii="Times New Roman" w:eastAsia="Times New Roman" w:hAnsi="Times New Roman" w:cs="Times New Roman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</w:rPr>
        <w:t xml:space="preserve">……………………… </w:t>
      </w:r>
      <w:r>
        <w:rPr>
          <w:rFonts w:ascii="Times New Roman" w:eastAsia="Times New Roman" w:hAnsi="Times New Roman" w:cs="Times New Roman"/>
        </w:rPr>
        <w:t xml:space="preserve">która to kwota stanowi  5 % wartości zadania. </w:t>
      </w:r>
    </w:p>
    <w:p w:rsidR="00191852" w:rsidRDefault="00191852" w:rsidP="00191852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Wykonawca zobowiązuje się złożyć do dnia odbioru końcowego, nową gwarancję ………………. lub wnieść gotówkę na zabezpieczenie roszczeń z tytułu gwarancji jakości w wysokości </w:t>
      </w:r>
      <w:r>
        <w:rPr>
          <w:rFonts w:ascii="Times New Roman" w:eastAsia="Times New Roman" w:hAnsi="Times New Roman" w:cs="Times New Roman"/>
          <w:b/>
        </w:rPr>
        <w:t xml:space="preserve">……………………. zł. </w:t>
      </w:r>
    </w:p>
    <w:p w:rsidR="00191852" w:rsidRDefault="00191852" w:rsidP="00191852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Zamawiający wspólnie z Wykonawcą i użytkownikiem  dokona komisyjnego przeglądu   </w:t>
      </w:r>
    </w:p>
    <w:p w:rsidR="00191852" w:rsidRDefault="00191852" w:rsidP="00191852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16</w:t>
      </w:r>
    </w:p>
    <w:p w:rsidR="00191852" w:rsidRDefault="00191852" w:rsidP="00191852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191852" w:rsidRDefault="00191852" w:rsidP="00191852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191852" w:rsidRDefault="00191852" w:rsidP="00191852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191852" w:rsidRDefault="00191852" w:rsidP="00191852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191852" w:rsidRDefault="00191852" w:rsidP="00191852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191852" w:rsidRDefault="00191852" w:rsidP="00191852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191852" w:rsidRDefault="00191852" w:rsidP="00191852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191852" w:rsidRDefault="00191852" w:rsidP="00191852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17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18</w:t>
      </w:r>
    </w:p>
    <w:p w:rsidR="00191852" w:rsidRDefault="00191852" w:rsidP="00191852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191852" w:rsidRDefault="00191852" w:rsidP="00191852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191852" w:rsidRDefault="00191852" w:rsidP="00191852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191852" w:rsidRDefault="00191852" w:rsidP="00191852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zmiany stawki podatku VAT,</w:t>
      </w:r>
    </w:p>
    <w:p w:rsidR="00191852" w:rsidRDefault="00191852" w:rsidP="00191852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191852" w:rsidRDefault="00191852" w:rsidP="00191852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gdy wykonanie robót nie będzie możliwe ze względów technologicznych.</w:t>
      </w: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§ 19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§21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trzecich.</w:t>
      </w: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22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 i Prawa budowlanego.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</w:rPr>
      </w:pPr>
    </w:p>
    <w:p w:rsidR="00191852" w:rsidRDefault="00191852" w:rsidP="00191852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23</w:t>
      </w:r>
    </w:p>
    <w:p w:rsidR="00191852" w:rsidRDefault="00191852" w:rsidP="00191852">
      <w:p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191852" w:rsidRDefault="00191852" w:rsidP="0019185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191852" w:rsidRDefault="00191852" w:rsidP="00191852">
      <w:pPr>
        <w:spacing w:after="0"/>
        <w:rPr>
          <w:rFonts w:ascii="Times New Roman" w:eastAsia="Times New Roman" w:hAnsi="Times New Roman" w:cs="Times New Roman"/>
          <w:i/>
        </w:rPr>
      </w:pPr>
    </w:p>
    <w:p w:rsidR="00191852" w:rsidRDefault="00191852" w:rsidP="00191852">
      <w:pPr>
        <w:jc w:val="both"/>
        <w:rPr>
          <w:rFonts w:ascii="Times New Roman" w:hAnsi="Times New Roman" w:cs="Times New Roman"/>
          <w:bCs/>
        </w:rPr>
      </w:pPr>
    </w:p>
    <w:p w:rsidR="00482B98" w:rsidRDefault="00482B98"/>
    <w:sectPr w:rsidR="00482B98" w:rsidSect="0048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5D3C2ED8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706653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06A43D98"/>
    <w:lvl w:ilvl="0" w:tplc="4E4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1852"/>
    <w:rsid w:val="00191852"/>
    <w:rsid w:val="0048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8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2947</Words>
  <Characters>17687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2019-04-19T07:00:00Z</dcterms:created>
  <dcterms:modified xsi:type="dcterms:W3CDTF">2019-04-19T07:01:00Z</dcterms:modified>
</cp:coreProperties>
</file>